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E17D" w14:textId="77777777" w:rsidR="00636BC3" w:rsidRPr="0044013F" w:rsidRDefault="00636BC3" w:rsidP="0053616F">
      <w:pPr>
        <w:spacing w:after="240" w:line="276" w:lineRule="auto"/>
        <w:jc w:val="both"/>
        <w:rPr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en-US"/>
        </w:rPr>
      </w:pPr>
    </w:p>
    <w:p w14:paraId="008B36FB" w14:textId="77777777" w:rsidR="0061048E" w:rsidRPr="0044013F" w:rsidRDefault="0061048E" w:rsidP="0053616F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44013F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2E2093D" wp14:editId="648954AE">
            <wp:simplePos x="0" y="0"/>
            <wp:positionH relativeFrom="margin">
              <wp:posOffset>320980</wp:posOffset>
            </wp:positionH>
            <wp:positionV relativeFrom="paragraph">
              <wp:posOffset>109855</wp:posOffset>
            </wp:positionV>
            <wp:extent cx="3612515" cy="696595"/>
            <wp:effectExtent l="0" t="0" r="6985" b="8255"/>
            <wp:wrapTight wrapText="bothSides">
              <wp:wrapPolygon edited="0">
                <wp:start x="0" y="0"/>
                <wp:lineTo x="0" y="21265"/>
                <wp:lineTo x="21528" y="21265"/>
                <wp:lineTo x="21528" y="0"/>
                <wp:lineTo x="0" y="0"/>
              </wp:wrapPolygon>
            </wp:wrapTight>
            <wp:docPr id="1" name="Рисунок 1" descr="Z:\04. CA-REGION\CAAEF 2017\Logo_CAAEF_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CA-REGION\CAAEF 2017\Logo_CAAEF_re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13F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3828A3B" wp14:editId="41FDA5F1">
            <wp:simplePos x="0" y="0"/>
            <wp:positionH relativeFrom="margin">
              <wp:posOffset>5219700</wp:posOffset>
            </wp:positionH>
            <wp:positionV relativeFrom="paragraph">
              <wp:posOffset>10795</wp:posOffset>
            </wp:positionV>
            <wp:extent cx="928743" cy="807085"/>
            <wp:effectExtent l="0" t="0" r="5080" b="0"/>
            <wp:wrapNone/>
            <wp:docPr id="4" name="Рисунок 4" descr="C:\Users\Tatyana Zaichenko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 Zaichenko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38" cy="81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13F">
        <w:rPr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44013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14:paraId="77C8E1FE" w14:textId="77777777" w:rsidR="0061048E" w:rsidRPr="0044013F" w:rsidRDefault="0061048E" w:rsidP="0053616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7092D0EC" w14:textId="77777777" w:rsidR="0061048E" w:rsidRPr="0044013F" w:rsidRDefault="0061048E" w:rsidP="0053616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4B65D8A8" w14:textId="77777777" w:rsidR="0061048E" w:rsidRPr="0044013F" w:rsidRDefault="0061048E" w:rsidP="0053616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1D3586AA" w14:textId="77777777" w:rsidR="0061048E" w:rsidRPr="0044013F" w:rsidRDefault="0061048E" w:rsidP="0053616F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</w:rPr>
      </w:pPr>
    </w:p>
    <w:p w14:paraId="297BF53C" w14:textId="77777777" w:rsidR="0061048E" w:rsidRPr="00B011BB" w:rsidRDefault="00B011BB" w:rsidP="0053616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eastAsia="Calibri" w:hAnsi="Arial" w:cs="Arial"/>
          <w:b/>
          <w:sz w:val="22"/>
          <w:szCs w:val="22"/>
          <w:lang w:val="en-US"/>
        </w:rPr>
        <w:t>CALL FOR ACTION</w:t>
      </w:r>
    </w:p>
    <w:p w14:paraId="137BD198" w14:textId="77777777" w:rsidR="00B011BB" w:rsidRPr="00B011BB" w:rsidRDefault="00B011BB" w:rsidP="00B011BB">
      <w:pPr>
        <w:spacing w:line="276" w:lineRule="auto"/>
        <w:jc w:val="center"/>
        <w:rPr>
          <w:rFonts w:ascii="Arial" w:hAnsi="Arial" w:cs="Arial"/>
          <w:b/>
          <w:color w:val="222222"/>
          <w:sz w:val="22"/>
          <w:szCs w:val="22"/>
          <w:lang w:val="en-US"/>
        </w:rPr>
      </w:pPr>
      <w:r w:rsidRPr="00B011BB">
        <w:rPr>
          <w:rFonts w:ascii="Arial" w:hAnsi="Arial" w:cs="Arial"/>
          <w:b/>
          <w:color w:val="222222"/>
          <w:sz w:val="22"/>
          <w:szCs w:val="22"/>
          <w:lang w:val="en-US"/>
        </w:rPr>
        <w:t>Promoting lifelong learning through</w:t>
      </w:r>
    </w:p>
    <w:p w14:paraId="1024830C" w14:textId="77777777" w:rsidR="0061048E" w:rsidRPr="0044013F" w:rsidRDefault="00B011BB" w:rsidP="00B011BB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de-DE"/>
        </w:rPr>
      </w:pPr>
      <w:r w:rsidRPr="00B011BB">
        <w:rPr>
          <w:rFonts w:ascii="Arial" w:hAnsi="Arial" w:cs="Arial"/>
          <w:b/>
          <w:color w:val="222222"/>
          <w:sz w:val="22"/>
          <w:szCs w:val="22"/>
        </w:rPr>
        <w:t>Community Learning Centers</w:t>
      </w:r>
    </w:p>
    <w:p w14:paraId="63C41A21" w14:textId="77777777" w:rsidR="0061048E" w:rsidRPr="0044013F" w:rsidRDefault="0061048E" w:rsidP="0053616F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14:paraId="752B5BB9" w14:textId="45853E0C" w:rsidR="0061048E" w:rsidRPr="00CD4136" w:rsidRDefault="00B011BB" w:rsidP="00B011BB">
      <w:pPr>
        <w:pStyle w:val="ListParagraph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Arial" w:hAnsi="Arial" w:cs="Arial"/>
          <w:bCs/>
          <w:lang w:val="en-CA"/>
        </w:rPr>
      </w:pPr>
      <w:r w:rsidRPr="00CD4136">
        <w:rPr>
          <w:rFonts w:ascii="Arial" w:hAnsi="Arial" w:cs="Arial"/>
          <w:b/>
          <w:color w:val="222222"/>
          <w:lang w:val="en-CA"/>
        </w:rPr>
        <w:t>We</w:t>
      </w:r>
      <w:r w:rsidRPr="00CD4136">
        <w:rPr>
          <w:rFonts w:ascii="Arial" w:hAnsi="Arial" w:cs="Arial"/>
          <w:color w:val="222222"/>
          <w:lang w:val="en-CA"/>
        </w:rPr>
        <w:t xml:space="preserve">, the participants of the </w:t>
      </w:r>
      <w:r w:rsidR="008815FA" w:rsidRPr="00CD4136">
        <w:rPr>
          <w:rFonts w:ascii="Arial" w:hAnsi="Arial" w:cs="Arial"/>
          <w:color w:val="222222"/>
          <w:lang w:val="en-CA"/>
        </w:rPr>
        <w:t xml:space="preserve">Central Asian </w:t>
      </w:r>
      <w:r w:rsidRPr="00CD4136">
        <w:rPr>
          <w:rFonts w:ascii="Arial" w:hAnsi="Arial" w:cs="Arial"/>
          <w:color w:val="222222"/>
          <w:lang w:val="en-CA"/>
        </w:rPr>
        <w:t xml:space="preserve">Adult Education Forum "Community Learning Centers: International Trends and Best Practices", gathered </w:t>
      </w:r>
      <w:r w:rsidR="00FB1DBB">
        <w:rPr>
          <w:rFonts w:ascii="Arial" w:hAnsi="Arial" w:cs="Arial"/>
          <w:color w:val="222222"/>
          <w:lang w:val="en-CA"/>
        </w:rPr>
        <w:t>in</w:t>
      </w:r>
      <w:r w:rsidRPr="00CD4136">
        <w:rPr>
          <w:rFonts w:ascii="Arial" w:hAnsi="Arial" w:cs="Arial"/>
          <w:color w:val="222222"/>
          <w:lang w:val="en-CA"/>
        </w:rPr>
        <w:t xml:space="preserve"> Issyk-Kul </w:t>
      </w:r>
      <w:r w:rsidR="00535C5E" w:rsidRPr="00CD4136">
        <w:rPr>
          <w:rFonts w:ascii="Arial" w:hAnsi="Arial" w:cs="Arial"/>
          <w:color w:val="222222"/>
          <w:lang w:val="en-CA"/>
        </w:rPr>
        <w:t xml:space="preserve">Lake </w:t>
      </w:r>
      <w:r w:rsidRPr="00CD4136">
        <w:rPr>
          <w:rFonts w:ascii="Arial" w:hAnsi="Arial" w:cs="Arial"/>
          <w:color w:val="222222"/>
          <w:lang w:val="en-CA"/>
        </w:rPr>
        <w:t xml:space="preserve">in </w:t>
      </w:r>
      <w:r w:rsidR="00CD4136">
        <w:rPr>
          <w:rFonts w:ascii="Arial" w:hAnsi="Arial" w:cs="Arial"/>
          <w:color w:val="222222"/>
          <w:lang w:val="en-CA"/>
        </w:rPr>
        <w:t>the Kyrgyz Republic</w:t>
      </w:r>
      <w:r w:rsidR="00CD4136" w:rsidRPr="00CD4136">
        <w:rPr>
          <w:rFonts w:ascii="Arial" w:hAnsi="Arial" w:cs="Arial"/>
          <w:color w:val="222222"/>
          <w:lang w:val="en-CA"/>
        </w:rPr>
        <w:t xml:space="preserve"> </w:t>
      </w:r>
      <w:r w:rsidR="00814736" w:rsidRPr="00CD4136">
        <w:rPr>
          <w:rFonts w:ascii="Arial" w:hAnsi="Arial" w:cs="Arial"/>
          <w:color w:val="222222"/>
          <w:lang w:val="en-CA"/>
        </w:rPr>
        <w:t xml:space="preserve">from September 7 to 9, 2017 in order </w:t>
      </w:r>
      <w:r w:rsidRPr="00CD4136">
        <w:rPr>
          <w:rFonts w:ascii="Arial" w:hAnsi="Arial" w:cs="Arial"/>
          <w:color w:val="222222"/>
          <w:lang w:val="en-CA"/>
        </w:rPr>
        <w:t xml:space="preserve">to </w:t>
      </w:r>
      <w:r w:rsidR="008815FA" w:rsidRPr="00CD4136">
        <w:rPr>
          <w:rFonts w:ascii="Arial" w:hAnsi="Arial" w:cs="Arial"/>
          <w:color w:val="222222"/>
          <w:lang w:val="en-CA"/>
        </w:rPr>
        <w:t>promote</w:t>
      </w:r>
      <w:r w:rsidR="00814736" w:rsidRPr="00CD4136">
        <w:rPr>
          <w:rFonts w:ascii="Arial" w:hAnsi="Arial" w:cs="Arial"/>
          <w:color w:val="222222"/>
          <w:lang w:val="en-CA"/>
        </w:rPr>
        <w:t xml:space="preserve"> </w:t>
      </w:r>
      <w:r w:rsidR="00FB1DBB">
        <w:rPr>
          <w:rFonts w:ascii="Arial" w:hAnsi="Arial" w:cs="Arial"/>
          <w:color w:val="222222"/>
          <w:lang w:val="en-CA"/>
        </w:rPr>
        <w:t xml:space="preserve">and </w:t>
      </w:r>
      <w:r w:rsidR="00814736" w:rsidRPr="00CD4136">
        <w:rPr>
          <w:rFonts w:ascii="Arial" w:hAnsi="Arial" w:cs="Arial"/>
          <w:color w:val="222222"/>
          <w:lang w:val="en-CA"/>
        </w:rPr>
        <w:t xml:space="preserve">strengthen the role of the </w:t>
      </w:r>
      <w:r w:rsidRPr="00CD4136">
        <w:rPr>
          <w:rFonts w:ascii="Arial" w:hAnsi="Arial" w:cs="Arial"/>
          <w:color w:val="222222"/>
          <w:lang w:val="en-CA"/>
        </w:rPr>
        <w:t xml:space="preserve">Community Learning Centers </w:t>
      </w:r>
      <w:r w:rsidR="00814736" w:rsidRPr="00CD4136">
        <w:rPr>
          <w:rFonts w:ascii="Arial" w:hAnsi="Arial" w:cs="Arial"/>
          <w:color w:val="222222"/>
          <w:lang w:val="en-CA"/>
        </w:rPr>
        <w:t>(CLC</w:t>
      </w:r>
      <w:r w:rsidRPr="00CD4136">
        <w:rPr>
          <w:rFonts w:ascii="Arial" w:hAnsi="Arial" w:cs="Arial"/>
          <w:color w:val="222222"/>
          <w:lang w:val="en-CA"/>
        </w:rPr>
        <w:t xml:space="preserve">) </w:t>
      </w:r>
      <w:r w:rsidR="008815FA" w:rsidRPr="00CD4136">
        <w:rPr>
          <w:rFonts w:ascii="Arial" w:hAnsi="Arial" w:cs="Arial"/>
          <w:color w:val="222222"/>
          <w:lang w:val="en-CA"/>
        </w:rPr>
        <w:t>with the purpose of expanding</w:t>
      </w:r>
      <w:r w:rsidRPr="00CD4136">
        <w:rPr>
          <w:rFonts w:ascii="Arial" w:hAnsi="Arial" w:cs="Arial"/>
          <w:color w:val="222222"/>
          <w:lang w:val="en-CA"/>
        </w:rPr>
        <w:t xml:space="preserve"> access to quality learning for all and thus contribute to the well-being of local communities;</w:t>
      </w:r>
    </w:p>
    <w:p w14:paraId="1B6AAC17" w14:textId="77777777" w:rsidR="0061048E" w:rsidRPr="00FD4BF3" w:rsidRDefault="00535C5E" w:rsidP="00056156">
      <w:pPr>
        <w:pStyle w:val="ListParagraph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color w:val="222222"/>
          <w:lang w:val="en-US"/>
        </w:rPr>
        <w:t>We acknowledge</w:t>
      </w:r>
      <w:r w:rsidR="00056156" w:rsidRPr="00056156">
        <w:rPr>
          <w:rFonts w:ascii="Arial" w:hAnsi="Arial" w:cs="Arial"/>
          <w:color w:val="222222"/>
          <w:lang w:val="en-US"/>
        </w:rPr>
        <w:t xml:space="preserve"> that every </w:t>
      </w:r>
      <w:r>
        <w:rPr>
          <w:rFonts w:ascii="Arial" w:hAnsi="Arial" w:cs="Arial"/>
          <w:color w:val="222222"/>
          <w:lang w:val="en-US"/>
        </w:rPr>
        <w:t>individual</w:t>
      </w:r>
      <w:r w:rsidR="00056156" w:rsidRPr="00056156">
        <w:rPr>
          <w:rFonts w:ascii="Arial" w:hAnsi="Arial" w:cs="Arial"/>
          <w:color w:val="222222"/>
          <w:lang w:val="en-US"/>
        </w:rPr>
        <w:t xml:space="preserve"> today must cope with a number of such challenges as combating poverty and conflicts, promoting diversity and equality, ensuring </w:t>
      </w:r>
      <w:r w:rsidR="005546E5">
        <w:rPr>
          <w:rFonts w:ascii="Arial" w:hAnsi="Arial" w:cs="Arial"/>
          <w:color w:val="222222"/>
          <w:lang w:val="en-US"/>
        </w:rPr>
        <w:t xml:space="preserve">sustainable </w:t>
      </w:r>
      <w:r w:rsidR="00056156" w:rsidRPr="00056156">
        <w:rPr>
          <w:rFonts w:ascii="Arial" w:hAnsi="Arial" w:cs="Arial"/>
          <w:color w:val="222222"/>
          <w:lang w:val="en-US"/>
        </w:rPr>
        <w:t>economic growth and decent work, climate change, u</w:t>
      </w:r>
      <w:r w:rsidR="00056156">
        <w:rPr>
          <w:rFonts w:ascii="Arial" w:hAnsi="Arial" w:cs="Arial"/>
          <w:color w:val="222222"/>
          <w:lang w:val="en-US"/>
        </w:rPr>
        <w:t>rbanization</w:t>
      </w:r>
      <w:r w:rsidR="00B71459">
        <w:rPr>
          <w:rFonts w:ascii="Arial" w:hAnsi="Arial" w:cs="Arial"/>
          <w:color w:val="222222"/>
          <w:lang w:val="en-US"/>
        </w:rPr>
        <w:t>, violence,</w:t>
      </w:r>
      <w:r w:rsidR="00056156">
        <w:rPr>
          <w:rFonts w:ascii="Arial" w:hAnsi="Arial" w:cs="Arial"/>
          <w:color w:val="222222"/>
          <w:lang w:val="en-US"/>
        </w:rPr>
        <w:t xml:space="preserve"> and others. All these</w:t>
      </w:r>
      <w:r w:rsidR="00056156" w:rsidRPr="00056156">
        <w:rPr>
          <w:rFonts w:ascii="Arial" w:hAnsi="Arial" w:cs="Arial"/>
          <w:color w:val="222222"/>
          <w:lang w:val="en-US"/>
        </w:rPr>
        <w:t xml:space="preserve"> require continuous training, </w:t>
      </w:r>
      <w:r w:rsidR="00056156">
        <w:rPr>
          <w:rFonts w:ascii="Arial" w:hAnsi="Arial" w:cs="Arial"/>
          <w:color w:val="222222"/>
          <w:lang w:val="en-US"/>
        </w:rPr>
        <w:t>preparedness and relevant</w:t>
      </w:r>
      <w:r w:rsidR="00056156" w:rsidRPr="00056156">
        <w:rPr>
          <w:rFonts w:ascii="Arial" w:hAnsi="Arial" w:cs="Arial"/>
          <w:color w:val="222222"/>
          <w:lang w:val="en-US"/>
        </w:rPr>
        <w:t xml:space="preserve"> response. </w:t>
      </w:r>
      <w:r w:rsidR="00056156">
        <w:rPr>
          <w:rFonts w:ascii="Arial" w:hAnsi="Arial" w:cs="Arial"/>
          <w:color w:val="222222"/>
          <w:lang w:val="en-US"/>
        </w:rPr>
        <w:t>CLC</w:t>
      </w:r>
      <w:r w:rsidR="00056156" w:rsidRPr="00056156">
        <w:rPr>
          <w:rFonts w:ascii="Arial" w:hAnsi="Arial" w:cs="Arial"/>
          <w:color w:val="222222"/>
          <w:lang w:val="en-US"/>
        </w:rPr>
        <w:t>, through flexible curriculum models, are designed to play an increasingly important role in addressing these problems by assessing individual needs and creating a structured learning environment throughout life</w:t>
      </w:r>
      <w:r w:rsidR="00B71459">
        <w:rPr>
          <w:rFonts w:ascii="Arial" w:hAnsi="Arial" w:cs="Arial"/>
          <w:color w:val="222222"/>
          <w:lang w:val="en-US"/>
        </w:rPr>
        <w:t xml:space="preserve"> within communities</w:t>
      </w:r>
      <w:r w:rsidR="00056156">
        <w:rPr>
          <w:rFonts w:ascii="Arial" w:hAnsi="Arial" w:cs="Arial"/>
          <w:color w:val="222222"/>
          <w:lang w:val="en-US"/>
        </w:rPr>
        <w:t>;</w:t>
      </w:r>
    </w:p>
    <w:p w14:paraId="6658A6C6" w14:textId="77777777" w:rsidR="00FB544B" w:rsidRPr="00FD4BF3" w:rsidRDefault="00056156" w:rsidP="00056156">
      <w:pPr>
        <w:pStyle w:val="ListParagraph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Arial" w:hAnsi="Arial" w:cs="Arial"/>
          <w:bCs/>
          <w:lang w:val="en-US"/>
        </w:rPr>
      </w:pPr>
      <w:r w:rsidRPr="00FD4BF3">
        <w:rPr>
          <w:rFonts w:ascii="Arial" w:hAnsi="Arial" w:cs="Arial"/>
          <w:b/>
          <w:color w:val="222222"/>
          <w:lang w:val="en-US"/>
        </w:rPr>
        <w:t xml:space="preserve">We </w:t>
      </w:r>
      <w:r w:rsidR="00535C5E">
        <w:rPr>
          <w:rFonts w:ascii="Arial" w:hAnsi="Arial" w:cs="Arial"/>
          <w:b/>
          <w:color w:val="222222"/>
          <w:lang w:val="en-US"/>
        </w:rPr>
        <w:t>re</w:t>
      </w:r>
      <w:r w:rsidRPr="00FD4BF3">
        <w:rPr>
          <w:rFonts w:ascii="Arial" w:hAnsi="Arial" w:cs="Arial"/>
          <w:b/>
          <w:color w:val="222222"/>
          <w:lang w:val="en-US"/>
        </w:rPr>
        <w:t>affirm</w:t>
      </w:r>
      <w:r w:rsidRPr="00FD4BF3">
        <w:rPr>
          <w:rFonts w:ascii="Arial" w:hAnsi="Arial" w:cs="Arial"/>
          <w:color w:val="222222"/>
          <w:lang w:val="en-US"/>
        </w:rPr>
        <w:t xml:space="preserve"> that flexible education models (</w:t>
      </w:r>
      <w:r>
        <w:rPr>
          <w:rFonts w:ascii="Arial" w:hAnsi="Arial" w:cs="Arial"/>
          <w:color w:val="222222"/>
          <w:lang w:val="en-US"/>
        </w:rPr>
        <w:t>which</w:t>
      </w:r>
      <w:r w:rsidRPr="00FD4BF3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include</w:t>
      </w:r>
      <w:r w:rsidRPr="00FD4BF3">
        <w:rPr>
          <w:rFonts w:ascii="Arial" w:hAnsi="Arial" w:cs="Arial"/>
          <w:color w:val="222222"/>
          <w:lang w:val="en-US"/>
        </w:rPr>
        <w:t xml:space="preserve"> adult education and non-formal education) help to fill the gaps in lifelong learning, thereby</w:t>
      </w:r>
      <w:r w:rsidR="00B71459">
        <w:rPr>
          <w:rFonts w:ascii="Arial" w:hAnsi="Arial" w:cs="Arial"/>
          <w:color w:val="222222"/>
          <w:lang w:val="en-US"/>
        </w:rPr>
        <w:t>,</w:t>
      </w:r>
      <w:r w:rsidRPr="00FD4BF3">
        <w:rPr>
          <w:rFonts w:ascii="Arial" w:hAnsi="Arial" w:cs="Arial"/>
          <w:color w:val="222222"/>
          <w:lang w:val="en-US"/>
        </w:rPr>
        <w:t xml:space="preserve"> ensuring the implementation of the fourth Sustainable Development Goal (</w:t>
      </w:r>
      <w:r>
        <w:rPr>
          <w:rFonts w:ascii="Arial" w:hAnsi="Arial" w:cs="Arial"/>
          <w:color w:val="222222"/>
          <w:lang w:val="en-US"/>
        </w:rPr>
        <w:t>SDG</w:t>
      </w:r>
      <w:r w:rsidRPr="00FD4BF3">
        <w:rPr>
          <w:rFonts w:ascii="Arial" w:hAnsi="Arial" w:cs="Arial"/>
          <w:color w:val="222222"/>
          <w:lang w:val="en-US"/>
        </w:rPr>
        <w:t xml:space="preserve">-4) on access to quality education and lifelong learning for all and contributing to the achievement of the remaining sixteen </w:t>
      </w:r>
      <w:r>
        <w:rPr>
          <w:rFonts w:ascii="Arial" w:hAnsi="Arial" w:cs="Arial"/>
          <w:color w:val="222222"/>
          <w:lang w:val="en-US"/>
        </w:rPr>
        <w:t>SDGs</w:t>
      </w:r>
      <w:r w:rsidR="00CF2650" w:rsidRPr="00FD4BF3">
        <w:rPr>
          <w:rFonts w:ascii="Arial" w:hAnsi="Arial" w:cs="Arial"/>
          <w:color w:val="222222"/>
          <w:lang w:val="en-US"/>
        </w:rPr>
        <w:t>;</w:t>
      </w:r>
      <w:r w:rsidR="000F1C39" w:rsidRPr="00FD4BF3">
        <w:rPr>
          <w:rFonts w:ascii="Arial" w:hAnsi="Arial" w:cs="Arial"/>
          <w:color w:val="222222"/>
          <w:lang w:val="en-US"/>
        </w:rPr>
        <w:t xml:space="preserve"> </w:t>
      </w:r>
    </w:p>
    <w:p w14:paraId="7202F183" w14:textId="5099E747" w:rsidR="002674BC" w:rsidRPr="008815FA" w:rsidRDefault="00FD4BF3" w:rsidP="00FD4BF3">
      <w:pPr>
        <w:pStyle w:val="ListParagraph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Arial" w:hAnsi="Arial" w:cs="Arial"/>
          <w:lang w:val="en-US" w:eastAsia="ja-JP"/>
        </w:rPr>
      </w:pPr>
      <w:r w:rsidRPr="00FD4BF3">
        <w:rPr>
          <w:rFonts w:ascii="Arial" w:hAnsi="Arial" w:cs="Arial"/>
          <w:b/>
          <w:color w:val="222222"/>
          <w:lang w:val="en-US"/>
        </w:rPr>
        <w:t>We emphasize</w:t>
      </w:r>
      <w:r w:rsidRPr="00FD4BF3">
        <w:rPr>
          <w:rFonts w:ascii="Arial" w:hAnsi="Arial" w:cs="Arial"/>
          <w:color w:val="222222"/>
          <w:lang w:val="en-US"/>
        </w:rPr>
        <w:t xml:space="preserve"> that </w:t>
      </w:r>
      <w:r>
        <w:rPr>
          <w:rFonts w:ascii="Arial" w:hAnsi="Arial" w:cs="Arial"/>
          <w:color w:val="222222"/>
          <w:lang w:val="en-US"/>
        </w:rPr>
        <w:t>CLC</w:t>
      </w:r>
      <w:r w:rsidRPr="00FD4BF3">
        <w:rPr>
          <w:rFonts w:ascii="Arial" w:hAnsi="Arial" w:cs="Arial"/>
          <w:color w:val="222222"/>
          <w:lang w:val="en-US"/>
        </w:rPr>
        <w:t>s are multi-purpose learning spaces of local communities that facilitate the wide-scale participation of all stakeholders in adult education as integral components of a lifelong learning system</w:t>
      </w:r>
      <w:r>
        <w:rPr>
          <w:rFonts w:ascii="Arial" w:hAnsi="Arial" w:cs="Arial"/>
          <w:color w:val="222222"/>
          <w:lang w:val="en-US"/>
        </w:rPr>
        <w:t>;</w:t>
      </w:r>
    </w:p>
    <w:p w14:paraId="75F82AE5" w14:textId="3B4A7BBD" w:rsidR="00B41684" w:rsidRPr="00FD4BF3" w:rsidRDefault="00FD4BF3" w:rsidP="00FD4BF3">
      <w:pPr>
        <w:pStyle w:val="ListParagraph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Arial" w:hAnsi="Arial" w:cs="Arial"/>
          <w:bCs/>
          <w:lang w:val="en-US"/>
        </w:rPr>
      </w:pPr>
      <w:r w:rsidRPr="00FD4BF3">
        <w:rPr>
          <w:rFonts w:ascii="Arial" w:hAnsi="Arial" w:cs="Arial"/>
          <w:color w:val="222222"/>
          <w:lang w:val="en-US"/>
        </w:rPr>
        <w:t xml:space="preserve">We join the appeals of the international community to critically evaluate and assess the existing national education systems for the development of </w:t>
      </w:r>
      <w:r w:rsidR="00B71459">
        <w:rPr>
          <w:rFonts w:ascii="Arial" w:hAnsi="Arial" w:cs="Arial"/>
          <w:color w:val="222222"/>
          <w:lang w:val="en-US"/>
        </w:rPr>
        <w:t xml:space="preserve">comprehensive </w:t>
      </w:r>
      <w:r w:rsidRPr="00FD4BF3">
        <w:rPr>
          <w:rFonts w:ascii="Arial" w:hAnsi="Arial" w:cs="Arial"/>
          <w:color w:val="222222"/>
          <w:lang w:val="en-US"/>
        </w:rPr>
        <w:t xml:space="preserve">models and to encourage flexible approaches to lifelong education / training as </w:t>
      </w:r>
      <w:r>
        <w:rPr>
          <w:rFonts w:ascii="Arial" w:hAnsi="Arial" w:cs="Arial"/>
          <w:color w:val="222222"/>
          <w:lang w:val="en-US"/>
        </w:rPr>
        <w:t>to</w:t>
      </w:r>
      <w:r w:rsidRPr="00FD4BF3">
        <w:rPr>
          <w:rFonts w:ascii="Arial" w:hAnsi="Arial" w:cs="Arial"/>
          <w:color w:val="222222"/>
          <w:lang w:val="en-US"/>
        </w:rPr>
        <w:t xml:space="preserve"> approach the place of residence, taking into account the principles of quality, justice and equity</w:t>
      </w:r>
      <w:r w:rsidR="00CF2650" w:rsidRPr="00FD4BF3">
        <w:rPr>
          <w:rFonts w:ascii="Arial" w:hAnsi="Arial" w:cs="Arial"/>
          <w:color w:val="222222"/>
          <w:lang w:val="en-US"/>
        </w:rPr>
        <w:t>;</w:t>
      </w:r>
    </w:p>
    <w:p w14:paraId="4C927A38" w14:textId="77777777" w:rsidR="00B41684" w:rsidRPr="00FD4BF3" w:rsidRDefault="00FD4BF3" w:rsidP="00FD4BF3">
      <w:pPr>
        <w:pStyle w:val="ListParagraph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Arial" w:hAnsi="Arial" w:cs="Arial"/>
          <w:bCs/>
          <w:lang w:val="en-US"/>
        </w:rPr>
      </w:pPr>
      <w:r w:rsidRPr="00D7753D">
        <w:rPr>
          <w:rFonts w:ascii="Arial" w:hAnsi="Arial" w:cs="Arial"/>
          <w:b/>
          <w:color w:val="222222"/>
          <w:lang w:val="en-US"/>
        </w:rPr>
        <w:t>In view of the abovementioned</w:t>
      </w:r>
      <w:r w:rsidRPr="00FD4BF3">
        <w:rPr>
          <w:rFonts w:ascii="Arial" w:hAnsi="Arial" w:cs="Arial"/>
          <w:color w:val="222222"/>
          <w:lang w:val="en-US"/>
        </w:rPr>
        <w:t>, we call for the following actions</w:t>
      </w:r>
      <w:r w:rsidR="000F1C39" w:rsidRPr="00FD4BF3">
        <w:rPr>
          <w:rFonts w:ascii="Arial" w:hAnsi="Arial" w:cs="Arial"/>
          <w:color w:val="222222"/>
          <w:lang w:val="en-US"/>
        </w:rPr>
        <w:t>:</w:t>
      </w:r>
    </w:p>
    <w:p w14:paraId="2A6786E5" w14:textId="6581C830" w:rsidR="00C92B88" w:rsidRPr="00625773" w:rsidRDefault="00625773" w:rsidP="0062577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lang w:val="en-US"/>
        </w:rPr>
      </w:pPr>
      <w:r w:rsidRPr="00625773">
        <w:rPr>
          <w:rFonts w:ascii="Arial" w:hAnsi="Arial" w:cs="Arial"/>
          <w:lang w:val="en-US"/>
        </w:rPr>
        <w:t xml:space="preserve">Improve existing national legislations by including specific sections and paragraphs to </w:t>
      </w:r>
      <w:r w:rsidR="00B71459">
        <w:rPr>
          <w:rFonts w:ascii="Arial" w:hAnsi="Arial" w:cs="Arial"/>
          <w:lang w:val="en-US"/>
        </w:rPr>
        <w:t xml:space="preserve">promote the </w:t>
      </w:r>
      <w:r w:rsidRPr="00625773">
        <w:rPr>
          <w:rFonts w:ascii="Arial" w:hAnsi="Arial" w:cs="Arial"/>
          <w:lang w:val="en-US"/>
        </w:rPr>
        <w:t>creat</w:t>
      </w:r>
      <w:r w:rsidR="00B71459">
        <w:rPr>
          <w:rFonts w:ascii="Arial" w:hAnsi="Arial" w:cs="Arial"/>
          <w:lang w:val="en-US"/>
        </w:rPr>
        <w:t>ion of</w:t>
      </w:r>
      <w:r w:rsidRPr="006257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CLC</w:t>
      </w:r>
      <w:r w:rsidRPr="00625773">
        <w:rPr>
          <w:rFonts w:ascii="Arial" w:hAnsi="Arial" w:cs="Arial"/>
          <w:lang w:val="en-US"/>
        </w:rPr>
        <w:t>s or enhance their capacity, where they already exist, in order to provide lifelong learning opportunities for all and to acquire the skills and competencies of the twenty-first century, including global citizenshi</w:t>
      </w:r>
      <w:r>
        <w:rPr>
          <w:rFonts w:ascii="Arial" w:hAnsi="Arial" w:cs="Arial"/>
          <w:lang w:val="en-US"/>
        </w:rPr>
        <w:t>p and sustainable development</w:t>
      </w:r>
      <w:r w:rsidR="00F14070" w:rsidRPr="00625773">
        <w:rPr>
          <w:rFonts w:ascii="Arial" w:hAnsi="Arial" w:cs="Arial"/>
          <w:lang w:val="en-US"/>
        </w:rPr>
        <w:t>;</w:t>
      </w:r>
    </w:p>
    <w:p w14:paraId="60AEBCC8" w14:textId="77777777" w:rsidR="00C92B88" w:rsidRPr="00625773" w:rsidRDefault="00C92B88" w:rsidP="00C92B88">
      <w:pPr>
        <w:pStyle w:val="ListParagraph"/>
        <w:jc w:val="both"/>
        <w:rPr>
          <w:rFonts w:ascii="Arial" w:hAnsi="Arial" w:cs="Arial"/>
          <w:bCs/>
          <w:lang w:val="en-US"/>
        </w:rPr>
      </w:pPr>
    </w:p>
    <w:p w14:paraId="2A8D2A56" w14:textId="34F20016" w:rsidR="00E63667" w:rsidRPr="00625773" w:rsidRDefault="00625773" w:rsidP="0062577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lang w:val="en-US"/>
        </w:rPr>
      </w:pPr>
      <w:r w:rsidRPr="00625773">
        <w:rPr>
          <w:rFonts w:ascii="Arial" w:hAnsi="Arial" w:cs="Arial"/>
          <w:lang w:val="en-US"/>
        </w:rPr>
        <w:t xml:space="preserve">Revise the legislative framework to harmonize the </w:t>
      </w:r>
      <w:r>
        <w:rPr>
          <w:rFonts w:ascii="Arial" w:hAnsi="Arial" w:cs="Arial"/>
          <w:lang w:val="en-US"/>
        </w:rPr>
        <w:t xml:space="preserve">used </w:t>
      </w:r>
      <w:r w:rsidRPr="00625773">
        <w:rPr>
          <w:rFonts w:ascii="Arial" w:hAnsi="Arial" w:cs="Arial"/>
          <w:lang w:val="en-US"/>
        </w:rPr>
        <w:t>terms</w:t>
      </w:r>
      <w:r>
        <w:rPr>
          <w:rFonts w:ascii="Arial" w:hAnsi="Arial" w:cs="Arial"/>
          <w:lang w:val="en-US"/>
        </w:rPr>
        <w:t xml:space="preserve"> </w:t>
      </w:r>
      <w:r w:rsidRPr="00625773">
        <w:rPr>
          <w:rFonts w:ascii="Arial" w:hAnsi="Arial" w:cs="Arial"/>
          <w:lang w:val="en-US"/>
        </w:rPr>
        <w:t xml:space="preserve">and the importance of </w:t>
      </w:r>
      <w:r w:rsidR="00B71459">
        <w:rPr>
          <w:rFonts w:ascii="Arial" w:hAnsi="Arial" w:cs="Arial"/>
          <w:lang w:val="en-US"/>
        </w:rPr>
        <w:t>adult education and</w:t>
      </w:r>
      <w:r w:rsidRPr="00625773">
        <w:rPr>
          <w:rFonts w:ascii="Arial" w:hAnsi="Arial" w:cs="Arial"/>
          <w:lang w:val="en-US"/>
        </w:rPr>
        <w:t xml:space="preserve"> learning and lifelong learning based on </w:t>
      </w:r>
      <w:r w:rsidR="004A162F" w:rsidRPr="002D1F5C">
        <w:rPr>
          <w:rFonts w:ascii="Arial" w:hAnsi="Arial" w:cs="Arial"/>
          <w:lang w:val="en-US"/>
        </w:rPr>
        <w:t>the UNESCO Recommendation on Adult Learning and Education</w:t>
      </w:r>
      <w:r w:rsidR="00F14070" w:rsidRPr="00625773">
        <w:rPr>
          <w:rFonts w:ascii="Arial" w:hAnsi="Arial" w:cs="Arial"/>
          <w:lang w:val="en-US"/>
        </w:rPr>
        <w:t>;</w:t>
      </w:r>
    </w:p>
    <w:p w14:paraId="049DEB61" w14:textId="11FD28E1" w:rsidR="00C76821" w:rsidRPr="00625773" w:rsidRDefault="00070572" w:rsidP="00625773">
      <w:pPr>
        <w:numPr>
          <w:ilvl w:val="0"/>
          <w:numId w:val="18"/>
        </w:numPr>
        <w:spacing w:after="240"/>
        <w:jc w:val="both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Establish</w:t>
      </w:r>
      <w:r w:rsidR="00625773">
        <w:rPr>
          <w:rFonts w:ascii="Arial" w:hAnsi="Arial" w:cs="Arial"/>
          <w:sz w:val="22"/>
          <w:szCs w:val="22"/>
          <w:lang w:val="en-US"/>
        </w:rPr>
        <w:t xml:space="preserve"> a public administrative</w:t>
      </w:r>
      <w:r w:rsidR="00625773" w:rsidRPr="00625773">
        <w:rPr>
          <w:rFonts w:ascii="Arial" w:hAnsi="Arial" w:cs="Arial"/>
          <w:sz w:val="22"/>
          <w:szCs w:val="22"/>
          <w:lang w:val="en-US"/>
        </w:rPr>
        <w:t xml:space="preserve"> body / struc</w:t>
      </w:r>
      <w:r w:rsidR="00625773">
        <w:rPr>
          <w:rFonts w:ascii="Arial" w:hAnsi="Arial" w:cs="Arial"/>
          <w:sz w:val="22"/>
          <w:szCs w:val="22"/>
          <w:lang w:val="en-US"/>
        </w:rPr>
        <w:t xml:space="preserve">ture with </w:t>
      </w:r>
      <w:r w:rsidR="00625773" w:rsidRPr="00625773">
        <w:rPr>
          <w:rFonts w:ascii="Arial" w:hAnsi="Arial" w:cs="Arial"/>
          <w:sz w:val="22"/>
          <w:szCs w:val="22"/>
          <w:lang w:val="en-US"/>
        </w:rPr>
        <w:t xml:space="preserve">maximum involvement of stakeholders to promote the development of the </w:t>
      </w:r>
      <w:r w:rsidR="00B71459">
        <w:rPr>
          <w:rFonts w:ascii="Arial" w:hAnsi="Arial" w:cs="Arial"/>
          <w:sz w:val="22"/>
          <w:szCs w:val="22"/>
          <w:lang w:val="en-US"/>
        </w:rPr>
        <w:t xml:space="preserve">adult </w:t>
      </w:r>
      <w:r w:rsidR="00625773" w:rsidRPr="00625773">
        <w:rPr>
          <w:rFonts w:ascii="Arial" w:hAnsi="Arial" w:cs="Arial"/>
          <w:sz w:val="22"/>
          <w:szCs w:val="22"/>
          <w:lang w:val="en-US"/>
        </w:rPr>
        <w:t>education</w:t>
      </w:r>
      <w:r w:rsidR="00625773">
        <w:rPr>
          <w:rFonts w:ascii="Arial" w:hAnsi="Arial" w:cs="Arial"/>
          <w:sz w:val="22"/>
          <w:szCs w:val="22"/>
          <w:lang w:val="en-US"/>
        </w:rPr>
        <w:t xml:space="preserve"> </w:t>
      </w:r>
      <w:r w:rsidR="00625773" w:rsidRPr="00625773">
        <w:rPr>
          <w:rFonts w:ascii="Arial" w:hAnsi="Arial" w:cs="Arial"/>
          <w:sz w:val="22"/>
          <w:szCs w:val="22"/>
          <w:lang w:val="en-US"/>
        </w:rPr>
        <w:t>sector</w:t>
      </w:r>
      <w:r w:rsidR="004E6EA7" w:rsidRPr="00625773">
        <w:rPr>
          <w:rFonts w:ascii="Arial" w:hAnsi="Arial" w:cs="Arial"/>
          <w:sz w:val="22"/>
          <w:szCs w:val="22"/>
          <w:lang w:val="en-US"/>
        </w:rPr>
        <w:t>;</w:t>
      </w:r>
    </w:p>
    <w:p w14:paraId="395B9C50" w14:textId="77777777" w:rsidR="00C92B88" w:rsidRPr="00FD3096" w:rsidRDefault="00FD3096" w:rsidP="00FD3096">
      <w:pPr>
        <w:pStyle w:val="ListParagraph"/>
        <w:numPr>
          <w:ilvl w:val="0"/>
          <w:numId w:val="18"/>
        </w:numPr>
        <w:spacing w:after="24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color w:val="222222"/>
          <w:lang w:val="en-US"/>
        </w:rPr>
        <w:t>Raise</w:t>
      </w:r>
      <w:r w:rsidRPr="00FD3096">
        <w:rPr>
          <w:rFonts w:ascii="Arial" w:hAnsi="Arial" w:cs="Arial"/>
          <w:color w:val="222222"/>
          <w:lang w:val="en-US"/>
        </w:rPr>
        <w:t xml:space="preserve"> the awareness of policy-makers, representatives of local authorities, the private sector and civil society about the i</w:t>
      </w:r>
      <w:r>
        <w:rPr>
          <w:rFonts w:ascii="Arial" w:hAnsi="Arial" w:cs="Arial"/>
          <w:color w:val="222222"/>
          <w:lang w:val="en-US"/>
        </w:rPr>
        <w:t>mportance</w:t>
      </w:r>
      <w:r w:rsidRPr="00FD3096">
        <w:rPr>
          <w:rFonts w:ascii="Arial" w:hAnsi="Arial" w:cs="Arial"/>
          <w:color w:val="222222"/>
          <w:lang w:val="en-US"/>
        </w:rPr>
        <w:t xml:space="preserve"> of </w:t>
      </w:r>
      <w:r>
        <w:rPr>
          <w:rFonts w:ascii="Arial" w:hAnsi="Arial" w:cs="Arial"/>
          <w:color w:val="222222"/>
          <w:lang w:val="en-US"/>
        </w:rPr>
        <w:t>CLC</w:t>
      </w:r>
      <w:r w:rsidRPr="00FD3096">
        <w:rPr>
          <w:rFonts w:ascii="Arial" w:hAnsi="Arial" w:cs="Arial"/>
          <w:color w:val="222222"/>
          <w:lang w:val="en-US"/>
        </w:rPr>
        <w:t xml:space="preserve">s in the sustainable development of local communities and in attracting public, </w:t>
      </w:r>
      <w:r>
        <w:rPr>
          <w:rFonts w:ascii="Arial" w:hAnsi="Arial" w:cs="Arial"/>
          <w:color w:val="222222"/>
          <w:lang w:val="en-US"/>
        </w:rPr>
        <w:t xml:space="preserve">community </w:t>
      </w:r>
      <w:r w:rsidRPr="00FD3096">
        <w:rPr>
          <w:rFonts w:ascii="Arial" w:hAnsi="Arial" w:cs="Arial"/>
          <w:color w:val="222222"/>
          <w:lang w:val="en-US"/>
        </w:rPr>
        <w:t xml:space="preserve">and other resources to support and </w:t>
      </w:r>
      <w:r>
        <w:rPr>
          <w:rFonts w:ascii="Arial" w:hAnsi="Arial" w:cs="Arial"/>
          <w:color w:val="222222"/>
          <w:lang w:val="en-US"/>
        </w:rPr>
        <w:t xml:space="preserve">for their </w:t>
      </w:r>
      <w:r w:rsidRPr="00FD3096">
        <w:rPr>
          <w:rFonts w:ascii="Arial" w:hAnsi="Arial" w:cs="Arial"/>
          <w:color w:val="222222"/>
          <w:lang w:val="en-US"/>
        </w:rPr>
        <w:t>develop</w:t>
      </w:r>
      <w:r>
        <w:rPr>
          <w:rFonts w:ascii="Arial" w:hAnsi="Arial" w:cs="Arial"/>
          <w:color w:val="222222"/>
          <w:lang w:val="en-US"/>
        </w:rPr>
        <w:t>ment</w:t>
      </w:r>
      <w:r w:rsidR="00E24FCB" w:rsidRPr="00FD3096">
        <w:rPr>
          <w:rFonts w:ascii="Arial" w:hAnsi="Arial" w:cs="Arial"/>
          <w:bCs/>
          <w:lang w:val="en-US"/>
        </w:rPr>
        <w:t>;</w:t>
      </w:r>
    </w:p>
    <w:p w14:paraId="0A888C1F" w14:textId="77777777" w:rsidR="00C92B88" w:rsidRPr="00FD3096" w:rsidRDefault="00C92B88" w:rsidP="00C92B88">
      <w:pPr>
        <w:pStyle w:val="ListParagraph"/>
        <w:spacing w:after="240"/>
        <w:jc w:val="both"/>
        <w:rPr>
          <w:rFonts w:ascii="Arial" w:hAnsi="Arial" w:cs="Arial"/>
          <w:bCs/>
          <w:lang w:val="en-US"/>
        </w:rPr>
      </w:pPr>
    </w:p>
    <w:p w14:paraId="337439AF" w14:textId="77777777" w:rsidR="00600E54" w:rsidRPr="00FD3096" w:rsidRDefault="00FD3096" w:rsidP="00FD3096">
      <w:pPr>
        <w:pStyle w:val="ListParagraph"/>
        <w:numPr>
          <w:ilvl w:val="0"/>
          <w:numId w:val="18"/>
        </w:numPr>
        <w:spacing w:after="240"/>
        <w:jc w:val="both"/>
        <w:rPr>
          <w:rFonts w:ascii="Arial" w:hAnsi="Arial" w:cs="Arial"/>
          <w:bCs/>
          <w:lang w:val="en-US"/>
        </w:rPr>
      </w:pPr>
      <w:r w:rsidRPr="00FD3096">
        <w:rPr>
          <w:rFonts w:ascii="Arial" w:hAnsi="Arial" w:cs="Arial"/>
          <w:bCs/>
          <w:lang w:val="en-US"/>
        </w:rPr>
        <w:t xml:space="preserve">To contribute to the improvement of the quality of </w:t>
      </w:r>
      <w:r>
        <w:rPr>
          <w:rFonts w:ascii="Arial" w:hAnsi="Arial" w:cs="Arial"/>
          <w:bCs/>
          <w:lang w:val="en-US"/>
        </w:rPr>
        <w:t>CLC</w:t>
      </w:r>
      <w:r w:rsidRPr="00FD3096">
        <w:rPr>
          <w:rFonts w:ascii="Arial" w:hAnsi="Arial" w:cs="Arial"/>
          <w:bCs/>
          <w:lang w:val="en-US"/>
        </w:rPr>
        <w:t xml:space="preserve"> activities through the provision of sufficient resources including</w:t>
      </w:r>
      <w:r>
        <w:rPr>
          <w:rFonts w:ascii="Arial" w:hAnsi="Arial" w:cs="Arial"/>
          <w:bCs/>
          <w:lang w:val="en-US"/>
        </w:rPr>
        <w:t xml:space="preserve"> </w:t>
      </w:r>
      <w:r w:rsidRPr="00FD3096">
        <w:rPr>
          <w:rFonts w:ascii="Arial" w:hAnsi="Arial" w:cs="Arial"/>
          <w:bCs/>
          <w:lang w:val="en-US"/>
        </w:rPr>
        <w:t>support for the continuous improvement of the skills of their personnel</w:t>
      </w:r>
      <w:r w:rsidR="00600E54" w:rsidRPr="00FD3096">
        <w:rPr>
          <w:rFonts w:ascii="Arial" w:hAnsi="Arial" w:cs="Arial"/>
          <w:bCs/>
          <w:lang w:val="en-US"/>
        </w:rPr>
        <w:t>;</w:t>
      </w:r>
    </w:p>
    <w:p w14:paraId="0CD5BFCD" w14:textId="77777777" w:rsidR="00C92B88" w:rsidRPr="00FD3096" w:rsidRDefault="00C92B88" w:rsidP="00C92B88">
      <w:pPr>
        <w:pStyle w:val="ListParagraph"/>
        <w:spacing w:after="240"/>
        <w:jc w:val="both"/>
        <w:rPr>
          <w:rFonts w:ascii="Arial" w:hAnsi="Arial" w:cs="Arial"/>
          <w:bCs/>
          <w:lang w:val="en-US"/>
        </w:rPr>
      </w:pPr>
    </w:p>
    <w:p w14:paraId="7F2BCB0C" w14:textId="77777777" w:rsidR="00B41684" w:rsidRPr="00FD3096" w:rsidRDefault="00FD3096" w:rsidP="00FD3096">
      <w:pPr>
        <w:pStyle w:val="ListParagraph"/>
        <w:numPr>
          <w:ilvl w:val="0"/>
          <w:numId w:val="18"/>
        </w:numPr>
        <w:spacing w:after="240"/>
        <w:jc w:val="both"/>
        <w:rPr>
          <w:rFonts w:ascii="Arial" w:hAnsi="Arial" w:cs="Arial"/>
          <w:bCs/>
          <w:lang w:val="en-US"/>
        </w:rPr>
      </w:pPr>
      <w:r w:rsidRPr="00FD3096">
        <w:rPr>
          <w:rFonts w:ascii="Arial" w:hAnsi="Arial" w:cs="Arial"/>
          <w:color w:val="222222"/>
          <w:lang w:val="en-US"/>
        </w:rPr>
        <w:t>To support socially vulnerable groups of the population with a view to realizing their right</w:t>
      </w:r>
      <w:r>
        <w:rPr>
          <w:rFonts w:ascii="Arial" w:hAnsi="Arial" w:cs="Arial"/>
          <w:color w:val="222222"/>
          <w:lang w:val="en-US"/>
        </w:rPr>
        <w:t>s</w:t>
      </w:r>
      <w:r w:rsidRPr="00FD3096">
        <w:rPr>
          <w:rFonts w:ascii="Arial" w:hAnsi="Arial" w:cs="Arial"/>
          <w:color w:val="222222"/>
          <w:lang w:val="en-US"/>
        </w:rPr>
        <w:t xml:space="preserve"> to education, social adaptation and improving living standards, including through </w:t>
      </w:r>
      <w:r>
        <w:rPr>
          <w:rFonts w:ascii="Arial" w:hAnsi="Arial" w:cs="Arial"/>
          <w:color w:val="222222"/>
          <w:lang w:val="en-US"/>
        </w:rPr>
        <w:t>CLCs</w:t>
      </w:r>
      <w:r w:rsidR="00F14070" w:rsidRPr="00FD3096">
        <w:rPr>
          <w:rFonts w:ascii="Arial" w:hAnsi="Arial" w:cs="Arial"/>
          <w:color w:val="222222"/>
          <w:lang w:val="en-US"/>
        </w:rPr>
        <w:t>;</w:t>
      </w:r>
      <w:r w:rsidR="005D2A90" w:rsidRPr="00FD3096">
        <w:rPr>
          <w:rFonts w:ascii="Arial" w:hAnsi="Arial" w:cs="Arial"/>
          <w:bCs/>
          <w:lang w:val="en-US"/>
        </w:rPr>
        <w:t xml:space="preserve"> </w:t>
      </w:r>
    </w:p>
    <w:p w14:paraId="4E1998AC" w14:textId="77777777" w:rsidR="00600E54" w:rsidRPr="00FD3096" w:rsidRDefault="00FD3096" w:rsidP="00FD3096">
      <w:pPr>
        <w:numPr>
          <w:ilvl w:val="0"/>
          <w:numId w:val="18"/>
        </w:numPr>
        <w:spacing w:after="240"/>
        <w:jc w:val="both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FD3096">
        <w:rPr>
          <w:rFonts w:ascii="Arial" w:eastAsiaTheme="minorHAnsi" w:hAnsi="Arial" w:cs="Arial"/>
          <w:bCs/>
          <w:sz w:val="22"/>
          <w:szCs w:val="22"/>
          <w:lang w:val="en-US" w:eastAsia="en-US"/>
        </w:rPr>
        <w:t>Initiate the implementation of programs and activities that promote social partnership, and develop different approaches and models for partnerships</w:t>
      </w:r>
      <w:r w:rsidR="00F14070" w:rsidRPr="00FD3096">
        <w:rPr>
          <w:rFonts w:ascii="Arial" w:hAnsi="Arial" w:cs="Arial"/>
          <w:color w:val="222222"/>
          <w:sz w:val="22"/>
          <w:szCs w:val="22"/>
          <w:lang w:val="en-US"/>
        </w:rPr>
        <w:t>;</w:t>
      </w:r>
    </w:p>
    <w:p w14:paraId="4702EE81" w14:textId="20A3E673" w:rsidR="00B41684" w:rsidRPr="00FD3096" w:rsidRDefault="00FD3096" w:rsidP="00FD3096">
      <w:pPr>
        <w:numPr>
          <w:ilvl w:val="0"/>
          <w:numId w:val="18"/>
        </w:numPr>
        <w:spacing w:after="240" w:line="276" w:lineRule="auto"/>
        <w:jc w:val="both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FD3096">
        <w:rPr>
          <w:rFonts w:ascii="Arial" w:hAnsi="Arial" w:cs="Arial"/>
          <w:sz w:val="22"/>
          <w:szCs w:val="22"/>
          <w:lang w:val="en-US"/>
        </w:rPr>
        <w:t>To increase the exchange of knowle</w:t>
      </w:r>
      <w:r>
        <w:rPr>
          <w:rFonts w:ascii="Arial" w:hAnsi="Arial" w:cs="Arial"/>
          <w:sz w:val="22"/>
          <w:szCs w:val="22"/>
          <w:lang w:val="en-US"/>
        </w:rPr>
        <w:t>dge and cooperation between CLC</w:t>
      </w:r>
      <w:r w:rsidRPr="00FD3096">
        <w:rPr>
          <w:rFonts w:ascii="Arial" w:hAnsi="Arial" w:cs="Arial"/>
          <w:sz w:val="22"/>
          <w:szCs w:val="22"/>
          <w:lang w:val="en-US"/>
        </w:rPr>
        <w:t xml:space="preserve">s and various governmental, non-governmental, private and international organizations through networking, the creation of </w:t>
      </w:r>
      <w:bookmarkStart w:id="0" w:name="_GoBack"/>
      <w:bookmarkEnd w:id="0"/>
      <w:r w:rsidR="002D1F5C" w:rsidRPr="00FD3096">
        <w:rPr>
          <w:rFonts w:ascii="Arial" w:hAnsi="Arial" w:cs="Arial"/>
          <w:sz w:val="22"/>
          <w:szCs w:val="22"/>
          <w:lang w:val="en-US"/>
        </w:rPr>
        <w:t>public consultation</w:t>
      </w:r>
      <w:r w:rsidRPr="00FD3096">
        <w:rPr>
          <w:rFonts w:ascii="Arial" w:hAnsi="Arial" w:cs="Arial"/>
          <w:sz w:val="22"/>
          <w:szCs w:val="22"/>
          <w:lang w:val="en-US"/>
        </w:rPr>
        <w:t xml:space="preserve"> boards and other forms of partnership</w:t>
      </w:r>
      <w:r w:rsidR="00BA3C5D">
        <w:rPr>
          <w:rFonts w:ascii="Arial" w:hAnsi="Arial" w:cs="Arial"/>
          <w:sz w:val="22"/>
          <w:szCs w:val="22"/>
          <w:lang w:val="en-US"/>
        </w:rPr>
        <w:t>s</w:t>
      </w:r>
      <w:r w:rsidR="00374569" w:rsidRPr="00FD3096">
        <w:rPr>
          <w:rFonts w:ascii="Arial" w:hAnsi="Arial" w:cs="Arial"/>
          <w:sz w:val="22"/>
          <w:szCs w:val="22"/>
          <w:lang w:val="en-US"/>
        </w:rPr>
        <w:t>.</w:t>
      </w:r>
    </w:p>
    <w:p w14:paraId="5684938B" w14:textId="4119E8DF" w:rsidR="000F1C39" w:rsidRPr="00FD3096" w:rsidRDefault="000F1C39" w:rsidP="00EB682D">
      <w:pPr>
        <w:pStyle w:val="ListParagraph"/>
        <w:spacing w:after="240" w:line="276" w:lineRule="auto"/>
        <w:jc w:val="right"/>
        <w:rPr>
          <w:rFonts w:ascii="Arial" w:hAnsi="Arial" w:cs="Arial"/>
          <w:bCs/>
          <w:lang w:val="en-US"/>
        </w:rPr>
      </w:pPr>
      <w:r w:rsidRPr="00FD3096">
        <w:rPr>
          <w:rFonts w:ascii="Arial" w:hAnsi="Arial" w:cs="Arial"/>
          <w:color w:val="222222"/>
          <w:lang w:val="en-US"/>
        </w:rPr>
        <w:br/>
      </w:r>
      <w:r w:rsidR="00FD3096" w:rsidRPr="004A162F">
        <w:rPr>
          <w:rFonts w:ascii="Arial" w:hAnsi="Arial" w:cs="Arial"/>
          <w:color w:val="222222"/>
          <w:lang w:val="en-CA"/>
        </w:rPr>
        <w:t xml:space="preserve">Issyk-Kul, </w:t>
      </w:r>
      <w:r w:rsidR="00B71459" w:rsidRPr="004A162F">
        <w:rPr>
          <w:rFonts w:ascii="Arial" w:hAnsi="Arial" w:cs="Arial"/>
          <w:color w:val="222222"/>
          <w:lang w:val="en-CA"/>
        </w:rPr>
        <w:t>the Kyrgyz Republic</w:t>
      </w:r>
      <w:r w:rsidR="0053616F" w:rsidRPr="00FD3096">
        <w:rPr>
          <w:rFonts w:ascii="Arial" w:hAnsi="Arial" w:cs="Arial"/>
          <w:bCs/>
          <w:lang w:val="en-US"/>
        </w:rPr>
        <w:t>,</w:t>
      </w:r>
      <w:r w:rsidR="00FD4E20" w:rsidRPr="00FD3096">
        <w:rPr>
          <w:rFonts w:ascii="Arial" w:hAnsi="Arial" w:cs="Arial"/>
          <w:bCs/>
          <w:lang w:val="en-US"/>
        </w:rPr>
        <w:t xml:space="preserve"> </w:t>
      </w:r>
      <w:r w:rsidR="0053616F" w:rsidRPr="00FD3096">
        <w:rPr>
          <w:rFonts w:ascii="Arial" w:hAnsi="Arial" w:cs="Arial"/>
          <w:bCs/>
          <w:lang w:val="en-US"/>
        </w:rPr>
        <w:t xml:space="preserve">9 </w:t>
      </w:r>
      <w:r w:rsidR="00FD3096">
        <w:rPr>
          <w:rFonts w:ascii="Arial" w:hAnsi="Arial" w:cs="Arial"/>
          <w:bCs/>
          <w:lang w:val="en-US"/>
        </w:rPr>
        <w:t>September</w:t>
      </w:r>
      <w:r w:rsidR="0053616F" w:rsidRPr="00FD3096">
        <w:rPr>
          <w:rFonts w:ascii="Arial" w:hAnsi="Arial" w:cs="Arial"/>
          <w:bCs/>
          <w:lang w:val="en-US"/>
        </w:rPr>
        <w:t xml:space="preserve"> 2017</w:t>
      </w:r>
    </w:p>
    <w:p w14:paraId="371D1CAE" w14:textId="77777777" w:rsidR="00947CB6" w:rsidRPr="00FD3096" w:rsidRDefault="00947CB6" w:rsidP="0053616F">
      <w:pPr>
        <w:spacing w:after="240" w:line="276" w:lineRule="auto"/>
        <w:ind w:left="6372"/>
        <w:jc w:val="both"/>
        <w:rPr>
          <w:rFonts w:ascii="Arial" w:eastAsiaTheme="minorHAnsi" w:hAnsi="Arial" w:cs="Arial"/>
          <w:bCs/>
          <w:sz w:val="22"/>
          <w:szCs w:val="22"/>
          <w:lang w:val="en-US"/>
        </w:rPr>
      </w:pPr>
    </w:p>
    <w:sectPr w:rsidR="00947CB6" w:rsidRPr="00FD3096" w:rsidSect="001159C2">
      <w:headerReference w:type="default" r:id="rId11"/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BDCFB" w16cid:durableId="1D6D6A14"/>
  <w16cid:commentId w16cid:paraId="44BFC88F" w16cid:durableId="1D6D6CC1"/>
  <w16cid:commentId w16cid:paraId="0E33701E" w16cid:durableId="1D6D6D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2E40A" w14:textId="77777777" w:rsidR="001D249F" w:rsidRDefault="001D249F" w:rsidP="0061048E">
      <w:r>
        <w:separator/>
      </w:r>
    </w:p>
  </w:endnote>
  <w:endnote w:type="continuationSeparator" w:id="0">
    <w:p w14:paraId="08EB3F5F" w14:textId="77777777" w:rsidR="001D249F" w:rsidRDefault="001D249F" w:rsidP="0061048E">
      <w:r>
        <w:continuationSeparator/>
      </w:r>
    </w:p>
  </w:endnote>
  <w:endnote w:type="continuationNotice" w:id="1">
    <w:p w14:paraId="22486A1C" w14:textId="77777777" w:rsidR="001D249F" w:rsidRDefault="001D2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D96FF" w14:textId="77777777" w:rsidR="001D249F" w:rsidRDefault="001D249F" w:rsidP="0061048E">
      <w:r>
        <w:separator/>
      </w:r>
    </w:p>
  </w:footnote>
  <w:footnote w:type="continuationSeparator" w:id="0">
    <w:p w14:paraId="04E921DC" w14:textId="77777777" w:rsidR="001D249F" w:rsidRDefault="001D249F" w:rsidP="0061048E">
      <w:r>
        <w:continuationSeparator/>
      </w:r>
    </w:p>
  </w:footnote>
  <w:footnote w:type="continuationNotice" w:id="1">
    <w:p w14:paraId="596903A1" w14:textId="77777777" w:rsidR="001D249F" w:rsidRDefault="001D24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AD91" w14:textId="77777777" w:rsidR="00EA03CE" w:rsidRDefault="001D249F">
    <w:pPr>
      <w:pStyle w:val="Header"/>
      <w:jc w:val="center"/>
    </w:pPr>
  </w:p>
  <w:p w14:paraId="31B07CBA" w14:textId="77777777" w:rsidR="00EA03CE" w:rsidRDefault="001D2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1E71"/>
    <w:multiLevelType w:val="hybridMultilevel"/>
    <w:tmpl w:val="1592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203E"/>
    <w:multiLevelType w:val="hybridMultilevel"/>
    <w:tmpl w:val="45AC3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F3BAB"/>
    <w:multiLevelType w:val="hybridMultilevel"/>
    <w:tmpl w:val="8214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6147C"/>
    <w:multiLevelType w:val="hybridMultilevel"/>
    <w:tmpl w:val="35427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1EC9"/>
    <w:multiLevelType w:val="hybridMultilevel"/>
    <w:tmpl w:val="7D2A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1E59"/>
    <w:multiLevelType w:val="hybridMultilevel"/>
    <w:tmpl w:val="17DC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3DC"/>
    <w:multiLevelType w:val="hybridMultilevel"/>
    <w:tmpl w:val="AA3C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A73FC"/>
    <w:multiLevelType w:val="hybridMultilevel"/>
    <w:tmpl w:val="9B8250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709E9"/>
    <w:multiLevelType w:val="hybridMultilevel"/>
    <w:tmpl w:val="D0BE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17F65"/>
    <w:multiLevelType w:val="hybridMultilevel"/>
    <w:tmpl w:val="0E4AB1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4FC2"/>
    <w:multiLevelType w:val="hybridMultilevel"/>
    <w:tmpl w:val="FDDEB8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16457"/>
    <w:multiLevelType w:val="hybridMultilevel"/>
    <w:tmpl w:val="333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331D6"/>
    <w:multiLevelType w:val="hybridMultilevel"/>
    <w:tmpl w:val="190E83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1FA614C"/>
    <w:multiLevelType w:val="hybridMultilevel"/>
    <w:tmpl w:val="D2989E60"/>
    <w:lvl w:ilvl="0" w:tplc="041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74023673"/>
    <w:multiLevelType w:val="hybridMultilevel"/>
    <w:tmpl w:val="333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71742"/>
    <w:multiLevelType w:val="hybridMultilevel"/>
    <w:tmpl w:val="039CBB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E6B6B"/>
    <w:multiLevelType w:val="hybridMultilevel"/>
    <w:tmpl w:val="886E586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2E7CFF"/>
    <w:multiLevelType w:val="hybridMultilevel"/>
    <w:tmpl w:val="3B5E0112"/>
    <w:lvl w:ilvl="0" w:tplc="5D84F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6F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E5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04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8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A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63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E2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  <w:num w:numId="16">
    <w:abstractNumId w:val="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8E"/>
    <w:rsid w:val="00017ECB"/>
    <w:rsid w:val="000260E5"/>
    <w:rsid w:val="000316F6"/>
    <w:rsid w:val="000446F2"/>
    <w:rsid w:val="0004652B"/>
    <w:rsid w:val="00056156"/>
    <w:rsid w:val="00061DD0"/>
    <w:rsid w:val="0006617F"/>
    <w:rsid w:val="00070572"/>
    <w:rsid w:val="00085AE7"/>
    <w:rsid w:val="000A57F3"/>
    <w:rsid w:val="000B011C"/>
    <w:rsid w:val="000C69BF"/>
    <w:rsid w:val="000E39FE"/>
    <w:rsid w:val="000F1C39"/>
    <w:rsid w:val="001107A4"/>
    <w:rsid w:val="00114FFF"/>
    <w:rsid w:val="00125344"/>
    <w:rsid w:val="00137A80"/>
    <w:rsid w:val="001B7212"/>
    <w:rsid w:val="001C11C1"/>
    <w:rsid w:val="001C7D74"/>
    <w:rsid w:val="001D19D8"/>
    <w:rsid w:val="001D249F"/>
    <w:rsid w:val="001E009A"/>
    <w:rsid w:val="001E4DD7"/>
    <w:rsid w:val="002207E6"/>
    <w:rsid w:val="002348A1"/>
    <w:rsid w:val="002423D6"/>
    <w:rsid w:val="00246BC1"/>
    <w:rsid w:val="00261406"/>
    <w:rsid w:val="00261923"/>
    <w:rsid w:val="002674BC"/>
    <w:rsid w:val="00274833"/>
    <w:rsid w:val="00277688"/>
    <w:rsid w:val="002805ED"/>
    <w:rsid w:val="002A4FA7"/>
    <w:rsid w:val="002A5A63"/>
    <w:rsid w:val="002C254D"/>
    <w:rsid w:val="002D1F5C"/>
    <w:rsid w:val="003115D6"/>
    <w:rsid w:val="00340067"/>
    <w:rsid w:val="00352804"/>
    <w:rsid w:val="00354541"/>
    <w:rsid w:val="00357313"/>
    <w:rsid w:val="00371803"/>
    <w:rsid w:val="00374569"/>
    <w:rsid w:val="003761CB"/>
    <w:rsid w:val="003A49AD"/>
    <w:rsid w:val="003A547D"/>
    <w:rsid w:val="003A7E3F"/>
    <w:rsid w:val="003B3EBC"/>
    <w:rsid w:val="003C24E2"/>
    <w:rsid w:val="003D0B14"/>
    <w:rsid w:val="00420C09"/>
    <w:rsid w:val="004369D8"/>
    <w:rsid w:val="0044013F"/>
    <w:rsid w:val="00443E2C"/>
    <w:rsid w:val="00457523"/>
    <w:rsid w:val="004714FB"/>
    <w:rsid w:val="004A162F"/>
    <w:rsid w:val="004C458E"/>
    <w:rsid w:val="004E6EA7"/>
    <w:rsid w:val="004F1918"/>
    <w:rsid w:val="004F7723"/>
    <w:rsid w:val="00505DA7"/>
    <w:rsid w:val="005149D7"/>
    <w:rsid w:val="00520D8A"/>
    <w:rsid w:val="00535C5E"/>
    <w:rsid w:val="0053616F"/>
    <w:rsid w:val="00544AFB"/>
    <w:rsid w:val="00545CA6"/>
    <w:rsid w:val="005546E5"/>
    <w:rsid w:val="00573FFA"/>
    <w:rsid w:val="00582489"/>
    <w:rsid w:val="005A2E2E"/>
    <w:rsid w:val="005A4FBC"/>
    <w:rsid w:val="005C7DF8"/>
    <w:rsid w:val="005D2A90"/>
    <w:rsid w:val="00600E54"/>
    <w:rsid w:val="00601A42"/>
    <w:rsid w:val="0061048E"/>
    <w:rsid w:val="00616E8E"/>
    <w:rsid w:val="00624DA1"/>
    <w:rsid w:val="00625773"/>
    <w:rsid w:val="00636BC3"/>
    <w:rsid w:val="00646182"/>
    <w:rsid w:val="0067611A"/>
    <w:rsid w:val="00677031"/>
    <w:rsid w:val="006A1493"/>
    <w:rsid w:val="006A47D9"/>
    <w:rsid w:val="006A7974"/>
    <w:rsid w:val="006C382D"/>
    <w:rsid w:val="006D68FC"/>
    <w:rsid w:val="006E38C8"/>
    <w:rsid w:val="007239A4"/>
    <w:rsid w:val="00731551"/>
    <w:rsid w:val="00746C13"/>
    <w:rsid w:val="00750AE8"/>
    <w:rsid w:val="007709FA"/>
    <w:rsid w:val="007760DD"/>
    <w:rsid w:val="007A6BD8"/>
    <w:rsid w:val="007E2905"/>
    <w:rsid w:val="007F48B2"/>
    <w:rsid w:val="008045F4"/>
    <w:rsid w:val="008133E8"/>
    <w:rsid w:val="00814736"/>
    <w:rsid w:val="00823EAE"/>
    <w:rsid w:val="00837273"/>
    <w:rsid w:val="0085583E"/>
    <w:rsid w:val="008815FA"/>
    <w:rsid w:val="008920BC"/>
    <w:rsid w:val="00897C2D"/>
    <w:rsid w:val="008A789E"/>
    <w:rsid w:val="008C568C"/>
    <w:rsid w:val="008F5BE7"/>
    <w:rsid w:val="008F5DCA"/>
    <w:rsid w:val="00913AED"/>
    <w:rsid w:val="00932EA7"/>
    <w:rsid w:val="0094002C"/>
    <w:rsid w:val="0094019F"/>
    <w:rsid w:val="00947CB6"/>
    <w:rsid w:val="00952452"/>
    <w:rsid w:val="00956320"/>
    <w:rsid w:val="00961FE4"/>
    <w:rsid w:val="00963ADB"/>
    <w:rsid w:val="00980F79"/>
    <w:rsid w:val="00992F27"/>
    <w:rsid w:val="009A6B0C"/>
    <w:rsid w:val="00A10C03"/>
    <w:rsid w:val="00A17070"/>
    <w:rsid w:val="00A32923"/>
    <w:rsid w:val="00A40DF6"/>
    <w:rsid w:val="00A531CC"/>
    <w:rsid w:val="00A6196F"/>
    <w:rsid w:val="00A77D88"/>
    <w:rsid w:val="00A8569C"/>
    <w:rsid w:val="00A9582A"/>
    <w:rsid w:val="00AA44C7"/>
    <w:rsid w:val="00AD4CCD"/>
    <w:rsid w:val="00B011BB"/>
    <w:rsid w:val="00B207D4"/>
    <w:rsid w:val="00B220FD"/>
    <w:rsid w:val="00B41684"/>
    <w:rsid w:val="00B635F7"/>
    <w:rsid w:val="00B71459"/>
    <w:rsid w:val="00BA3C5D"/>
    <w:rsid w:val="00BB5F1D"/>
    <w:rsid w:val="00BC27D8"/>
    <w:rsid w:val="00BC46BD"/>
    <w:rsid w:val="00BC7B64"/>
    <w:rsid w:val="00BE0CBC"/>
    <w:rsid w:val="00BE0F37"/>
    <w:rsid w:val="00BE7B65"/>
    <w:rsid w:val="00C01BBD"/>
    <w:rsid w:val="00C0520D"/>
    <w:rsid w:val="00C23A9F"/>
    <w:rsid w:val="00C4025C"/>
    <w:rsid w:val="00C60A96"/>
    <w:rsid w:val="00C76821"/>
    <w:rsid w:val="00C80811"/>
    <w:rsid w:val="00C80C6E"/>
    <w:rsid w:val="00C92B88"/>
    <w:rsid w:val="00CD4136"/>
    <w:rsid w:val="00CD78C0"/>
    <w:rsid w:val="00CE4F5E"/>
    <w:rsid w:val="00CE61FD"/>
    <w:rsid w:val="00CF2650"/>
    <w:rsid w:val="00CF678C"/>
    <w:rsid w:val="00CF7CF2"/>
    <w:rsid w:val="00D20D8B"/>
    <w:rsid w:val="00D32028"/>
    <w:rsid w:val="00D420AC"/>
    <w:rsid w:val="00D531D9"/>
    <w:rsid w:val="00D56DAF"/>
    <w:rsid w:val="00D722C8"/>
    <w:rsid w:val="00D756CD"/>
    <w:rsid w:val="00D7753D"/>
    <w:rsid w:val="00DA5CB6"/>
    <w:rsid w:val="00DB07E9"/>
    <w:rsid w:val="00DB0D16"/>
    <w:rsid w:val="00DB1163"/>
    <w:rsid w:val="00DC2313"/>
    <w:rsid w:val="00DD167D"/>
    <w:rsid w:val="00DD3DA3"/>
    <w:rsid w:val="00DD6CB7"/>
    <w:rsid w:val="00DE398D"/>
    <w:rsid w:val="00DF470C"/>
    <w:rsid w:val="00E04136"/>
    <w:rsid w:val="00E11B56"/>
    <w:rsid w:val="00E205DD"/>
    <w:rsid w:val="00E24FCB"/>
    <w:rsid w:val="00E42BB1"/>
    <w:rsid w:val="00E63667"/>
    <w:rsid w:val="00E64A3A"/>
    <w:rsid w:val="00E64B28"/>
    <w:rsid w:val="00E655B4"/>
    <w:rsid w:val="00E74BCA"/>
    <w:rsid w:val="00E74ECF"/>
    <w:rsid w:val="00E75D11"/>
    <w:rsid w:val="00E81FFA"/>
    <w:rsid w:val="00E820BF"/>
    <w:rsid w:val="00E86960"/>
    <w:rsid w:val="00EB2B2B"/>
    <w:rsid w:val="00EB682D"/>
    <w:rsid w:val="00EC116B"/>
    <w:rsid w:val="00EC331D"/>
    <w:rsid w:val="00EC4A20"/>
    <w:rsid w:val="00EF6E8F"/>
    <w:rsid w:val="00F14070"/>
    <w:rsid w:val="00F22B8C"/>
    <w:rsid w:val="00F23A0E"/>
    <w:rsid w:val="00F24005"/>
    <w:rsid w:val="00F30471"/>
    <w:rsid w:val="00F67827"/>
    <w:rsid w:val="00F92EAD"/>
    <w:rsid w:val="00FA4452"/>
    <w:rsid w:val="00FB147E"/>
    <w:rsid w:val="00FB1DBB"/>
    <w:rsid w:val="00FB544B"/>
    <w:rsid w:val="00FD3096"/>
    <w:rsid w:val="00FD4BF3"/>
    <w:rsid w:val="00FD4E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9B5F"/>
  <w15:docId w15:val="{3EC10AB0-1478-4868-83A3-907DD631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04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048E"/>
  </w:style>
  <w:style w:type="paragraph" w:styleId="FootnoteText">
    <w:name w:val="footnote text"/>
    <w:basedOn w:val="Normal"/>
    <w:link w:val="FootnoteTextChar"/>
    <w:uiPriority w:val="99"/>
    <w:semiHidden/>
    <w:unhideWhenUsed/>
    <w:rsid w:val="006104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1048E"/>
    <w:rPr>
      <w:vertAlign w:val="superscript"/>
    </w:rPr>
  </w:style>
  <w:style w:type="paragraph" w:styleId="NoSpacing">
    <w:name w:val="No Spacing"/>
    <w:uiPriority w:val="1"/>
    <w:qFormat/>
    <w:rsid w:val="0061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27"/>
    <w:rPr>
      <w:rFonts w:ascii="Segoe UI" w:eastAsia="Times New Roman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46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46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7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573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916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19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589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07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921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70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BBB5-45F4-4963-8052-F5AAAFCB9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43C67-F04F-44E1-A8AC-15AAB669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Bakhtiyor Namazov</dc:creator>
  <cp:lastModifiedBy>Nodir Rakhimov</cp:lastModifiedBy>
  <cp:revision>3</cp:revision>
  <dcterms:created xsi:type="dcterms:W3CDTF">2017-09-26T06:32:00Z</dcterms:created>
  <dcterms:modified xsi:type="dcterms:W3CDTF">2017-09-27T09:19:00Z</dcterms:modified>
</cp:coreProperties>
</file>